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092" w:rsidRPr="00B24AAE" w:rsidRDefault="0064038B" w:rsidP="00B24AAE">
      <w:pPr>
        <w:jc w:val="center"/>
        <w:rPr>
          <w:rFonts w:ascii="Book Antiqua" w:hAnsi="Book Antiqua"/>
          <w:b/>
          <w:sz w:val="28"/>
          <w:szCs w:val="24"/>
        </w:rPr>
      </w:pPr>
      <w:r w:rsidRPr="00B24AAE">
        <w:rPr>
          <w:rFonts w:ascii="Book Antiqua" w:hAnsi="Book Antiqua"/>
          <w:b/>
          <w:sz w:val="28"/>
          <w:szCs w:val="24"/>
        </w:rPr>
        <w:t>Remun</w:t>
      </w:r>
      <w:r w:rsidR="00B24AAE" w:rsidRPr="00B24AAE">
        <w:rPr>
          <w:rFonts w:ascii="Book Antiqua" w:hAnsi="Book Antiqua"/>
          <w:b/>
          <w:sz w:val="28"/>
          <w:szCs w:val="24"/>
        </w:rPr>
        <w:t>eration of Church Musicians 2025</w:t>
      </w:r>
    </w:p>
    <w:p w:rsidR="004075B2" w:rsidRDefault="004075B2">
      <w:pPr>
        <w:rPr>
          <w:rFonts w:ascii="Book Antiqua" w:hAnsi="Book Antiqua"/>
          <w:b/>
          <w:sz w:val="24"/>
          <w:szCs w:val="24"/>
        </w:rPr>
      </w:pPr>
    </w:p>
    <w:p w:rsidR="004075B2" w:rsidRPr="00B24AAE" w:rsidRDefault="004075B2" w:rsidP="004075B2">
      <w:pPr>
        <w:rPr>
          <w:rFonts w:ascii="Book Antiqua" w:hAnsi="Book Antiqua"/>
          <w:sz w:val="28"/>
          <w:szCs w:val="28"/>
        </w:rPr>
      </w:pPr>
      <w:r w:rsidRPr="00B24AAE">
        <w:rPr>
          <w:rFonts w:ascii="Book Antiqua" w:hAnsi="Book Antiqua"/>
          <w:sz w:val="28"/>
          <w:szCs w:val="28"/>
        </w:rPr>
        <w:t>First issued in 1996, these recommendations are guidelines, not directives. The qualifications and competence of the musician, what is expected of them, the ability of the choir, and the amount of administrative work involved are among the matters which should be considered when applying the guidelines to the local situation. The scales are revised from time to time in line with remuneration in other sectors.</w:t>
      </w:r>
    </w:p>
    <w:p w:rsidR="00BE66A4" w:rsidRPr="00B24AAE" w:rsidRDefault="004075B2" w:rsidP="004075B2">
      <w:pPr>
        <w:rPr>
          <w:rFonts w:ascii="Book Antiqua" w:hAnsi="Book Antiqua"/>
          <w:sz w:val="28"/>
          <w:szCs w:val="28"/>
        </w:rPr>
      </w:pPr>
      <w:r w:rsidRPr="00B24AAE">
        <w:rPr>
          <w:rFonts w:ascii="Book Antiqua" w:hAnsi="Book Antiqua"/>
          <w:sz w:val="28"/>
          <w:szCs w:val="28"/>
        </w:rPr>
        <w:t xml:space="preserve">When appointing musicians, parish authorities are strongly advised to consult the Code of Practice on Determining Employment Status prepared by the Revenue Commissioners, the Department of Social Protection and the Workplace Relations Commission. The most recent version was published in July 2021. </w:t>
      </w:r>
    </w:p>
    <w:p w:rsidR="004075B2" w:rsidRPr="00B24AAE" w:rsidRDefault="004075B2" w:rsidP="004075B2">
      <w:pPr>
        <w:rPr>
          <w:rFonts w:ascii="Book Antiqua" w:hAnsi="Book Antiqua"/>
          <w:sz w:val="28"/>
          <w:szCs w:val="28"/>
        </w:rPr>
      </w:pPr>
      <w:r w:rsidRPr="00B24AAE">
        <w:rPr>
          <w:rFonts w:ascii="Book Antiqua" w:hAnsi="Book Antiqua"/>
          <w:sz w:val="28"/>
          <w:szCs w:val="28"/>
        </w:rPr>
        <w:t>It can be very helpful and will avoid difficulties arising, if there is an agreed understanding between clergy and musicians as regards choosing music for the liturgy, fees for weddings and funerals, the use of the organ for teaching and other matters.</w:t>
      </w:r>
    </w:p>
    <w:p w:rsidR="004075B2" w:rsidRPr="00B24AAE" w:rsidRDefault="004075B2" w:rsidP="004075B2">
      <w:pPr>
        <w:rPr>
          <w:rFonts w:ascii="Book Antiqua" w:hAnsi="Book Antiqua"/>
          <w:sz w:val="28"/>
          <w:szCs w:val="28"/>
        </w:rPr>
      </w:pPr>
      <w:r w:rsidRPr="00B24AAE">
        <w:rPr>
          <w:rFonts w:ascii="Book Antiqua" w:hAnsi="Book Antiqua"/>
          <w:sz w:val="28"/>
          <w:szCs w:val="28"/>
        </w:rPr>
        <w:t>In some cases the musician either accepts no payment or donates it back.  While of enormous benefit, this generosity distorts the cost of running the parish.  It is suggested that in such cases the parish should transfer the appropriate level of fee into a separate fund as, when the present musician leaves, it is probable that the successor will have to be paid.  This procedure will establish a realistic payment level for the post and will avoid a sudden additional cost in the future.</w:t>
      </w:r>
    </w:p>
    <w:p w:rsidR="004075B2" w:rsidRPr="00B24AAE" w:rsidRDefault="004075B2" w:rsidP="004075B2">
      <w:pPr>
        <w:rPr>
          <w:rFonts w:ascii="Book Antiqua" w:hAnsi="Book Antiqua"/>
          <w:sz w:val="28"/>
          <w:szCs w:val="28"/>
        </w:rPr>
      </w:pPr>
      <w:r w:rsidRPr="00B24AAE">
        <w:rPr>
          <w:rFonts w:ascii="Book Antiqua" w:hAnsi="Book Antiqua"/>
          <w:sz w:val="28"/>
          <w:szCs w:val="28"/>
        </w:rPr>
        <w:t>The value of regular in-service training cannot be over-emphasised. At all stages in their careers, musicians benefit from continuous professional development. They bring back to the local church fresh approaches and ideas to support their work.  Clergy and parish committees should encourage and expect their musicians to attend relevant courses and should provide financial assistance towards the cost.</w:t>
      </w:r>
    </w:p>
    <w:p w:rsidR="004075B2" w:rsidRPr="00B24AAE" w:rsidRDefault="004075B2" w:rsidP="004075B2">
      <w:pPr>
        <w:rPr>
          <w:rFonts w:ascii="Book Antiqua" w:hAnsi="Book Antiqua"/>
          <w:sz w:val="28"/>
          <w:szCs w:val="28"/>
        </w:rPr>
      </w:pPr>
      <w:r w:rsidRPr="00B24AAE">
        <w:rPr>
          <w:rFonts w:ascii="Book Antiqua" w:hAnsi="Book Antiqua"/>
          <w:sz w:val="28"/>
          <w:szCs w:val="28"/>
        </w:rPr>
        <w:t xml:space="preserve">Church authorities should find these guidelines useful in determining an appropriate payment level.  It is </w:t>
      </w:r>
      <w:r w:rsidR="00BE66A4" w:rsidRPr="00B24AAE">
        <w:rPr>
          <w:rFonts w:ascii="Book Antiqua" w:hAnsi="Book Antiqua"/>
          <w:sz w:val="28"/>
          <w:szCs w:val="28"/>
        </w:rPr>
        <w:t>important</w:t>
      </w:r>
      <w:r w:rsidRPr="00B24AAE">
        <w:rPr>
          <w:rFonts w:ascii="Book Antiqua" w:hAnsi="Book Antiqua"/>
          <w:sz w:val="28"/>
          <w:szCs w:val="28"/>
        </w:rPr>
        <w:t xml:space="preserve"> that the value of music in </w:t>
      </w:r>
      <w:r w:rsidRPr="00B24AAE">
        <w:rPr>
          <w:rFonts w:ascii="Book Antiqua" w:hAnsi="Book Antiqua"/>
          <w:sz w:val="28"/>
          <w:szCs w:val="28"/>
        </w:rPr>
        <w:lastRenderedPageBreak/>
        <w:t>the worship of the Church and the musician’s training, skill and commitment are appropriately recognised in monetary terms.</w:t>
      </w:r>
    </w:p>
    <w:p w:rsidR="004075B2" w:rsidRPr="00B24AAE" w:rsidRDefault="004075B2" w:rsidP="004075B2">
      <w:pPr>
        <w:rPr>
          <w:rFonts w:ascii="Book Antiqua" w:hAnsi="Book Antiqua"/>
          <w:b/>
          <w:sz w:val="28"/>
          <w:szCs w:val="28"/>
        </w:rPr>
      </w:pPr>
      <w:r w:rsidRPr="00B24AAE">
        <w:rPr>
          <w:rFonts w:ascii="Book Antiqua" w:hAnsi="Book Antiqua"/>
          <w:b/>
          <w:sz w:val="28"/>
          <w:szCs w:val="28"/>
        </w:rPr>
        <w:t>Background Information</w:t>
      </w:r>
    </w:p>
    <w:p w:rsidR="00C82103" w:rsidRPr="00B24AAE" w:rsidRDefault="0064038B">
      <w:pPr>
        <w:rPr>
          <w:rFonts w:ascii="Book Antiqua" w:hAnsi="Book Antiqua"/>
          <w:sz w:val="28"/>
          <w:szCs w:val="28"/>
        </w:rPr>
      </w:pPr>
      <w:r w:rsidRPr="00B24AAE">
        <w:rPr>
          <w:rFonts w:ascii="Book Antiqua" w:hAnsi="Book Antiqua"/>
          <w:sz w:val="28"/>
          <w:szCs w:val="28"/>
        </w:rPr>
        <w:t xml:space="preserve">Since 2005 the Advisory Committee for Church Music has issued guidelines in tandem with the Church of Ireland for remuneration of Church musicians. </w:t>
      </w:r>
      <w:r w:rsidR="00D6761B" w:rsidRPr="00B24AAE">
        <w:rPr>
          <w:rFonts w:ascii="Book Antiqua" w:hAnsi="Book Antiqua"/>
          <w:sz w:val="28"/>
          <w:szCs w:val="28"/>
        </w:rPr>
        <w:t xml:space="preserve"> </w:t>
      </w:r>
      <w:r w:rsidRPr="00B24AAE">
        <w:rPr>
          <w:rFonts w:ascii="Book Antiqua" w:hAnsi="Book Antiqua"/>
          <w:sz w:val="28"/>
          <w:szCs w:val="28"/>
        </w:rPr>
        <w:t xml:space="preserve"> These </w:t>
      </w:r>
      <w:r w:rsidR="00D6761B" w:rsidRPr="00B24AAE">
        <w:rPr>
          <w:rFonts w:ascii="Book Antiqua" w:hAnsi="Book Antiqua"/>
          <w:sz w:val="28"/>
          <w:szCs w:val="28"/>
        </w:rPr>
        <w:t>rates remained unchanged from 2009 to 2015.  The rates were increased in 2016, 2017, 2019, 2020 and 2022.  By this time it had become apparent that it was necessary to make Church work more financially attractive for competent musicians, and a major revision was carried out in December 2022, with more substantial increases agreed</w:t>
      </w:r>
      <w:r w:rsidR="00191EC2" w:rsidRPr="00B24AAE">
        <w:rPr>
          <w:rFonts w:ascii="Book Antiqua" w:hAnsi="Book Antiqua"/>
          <w:sz w:val="28"/>
          <w:szCs w:val="28"/>
        </w:rPr>
        <w:t xml:space="preserve"> (especially in relation to the lower bands)</w:t>
      </w:r>
      <w:r w:rsidR="00D6761B" w:rsidRPr="00B24AAE">
        <w:rPr>
          <w:rFonts w:ascii="Book Antiqua" w:hAnsi="Book Antiqua"/>
          <w:sz w:val="28"/>
          <w:szCs w:val="28"/>
        </w:rPr>
        <w:t xml:space="preserve">, to be spread over 2023 and 2024.  </w:t>
      </w:r>
      <w:r w:rsidR="00BE66A4" w:rsidRPr="00B24AAE">
        <w:rPr>
          <w:rFonts w:ascii="Book Antiqua" w:hAnsi="Book Antiqua"/>
          <w:sz w:val="28"/>
          <w:szCs w:val="28"/>
        </w:rPr>
        <w:t>Aside from this more substantial increase, the</w:t>
      </w:r>
      <w:r w:rsidR="00C82103" w:rsidRPr="00B24AAE">
        <w:rPr>
          <w:rFonts w:ascii="Book Antiqua" w:hAnsi="Book Antiqua"/>
          <w:sz w:val="28"/>
          <w:szCs w:val="28"/>
        </w:rPr>
        <w:t xml:space="preserve"> external benchmark for adjusting rates is the change in the CSO Consumer Price Inde</w:t>
      </w:r>
      <w:r w:rsidR="00D60C02" w:rsidRPr="00B24AAE">
        <w:rPr>
          <w:rFonts w:ascii="Book Antiqua" w:hAnsi="Book Antiqua"/>
          <w:sz w:val="28"/>
          <w:szCs w:val="28"/>
        </w:rPr>
        <w:t>x</w:t>
      </w:r>
      <w:r w:rsidR="00C82103" w:rsidRPr="00B24AAE">
        <w:rPr>
          <w:rFonts w:ascii="Book Antiqua" w:hAnsi="Book Antiqua"/>
          <w:sz w:val="28"/>
          <w:szCs w:val="28"/>
        </w:rPr>
        <w:t xml:space="preserve"> for the previous year ended 30</w:t>
      </w:r>
      <w:r w:rsidR="00C82103" w:rsidRPr="00B24AAE">
        <w:rPr>
          <w:rFonts w:ascii="Book Antiqua" w:hAnsi="Book Antiqua"/>
          <w:sz w:val="28"/>
          <w:szCs w:val="28"/>
          <w:vertAlign w:val="superscript"/>
        </w:rPr>
        <w:t>th</w:t>
      </w:r>
      <w:r w:rsidR="00C82103" w:rsidRPr="00B24AAE">
        <w:rPr>
          <w:rFonts w:ascii="Book Antiqua" w:hAnsi="Book Antiqua"/>
          <w:sz w:val="28"/>
          <w:szCs w:val="28"/>
        </w:rPr>
        <w:t xml:space="preserve"> June; in this case the period June 2023 to June 2024, the CPI increased by 2.2%.</w:t>
      </w:r>
    </w:p>
    <w:p w:rsidR="005464AF" w:rsidRPr="00B24AAE" w:rsidRDefault="00D6761B">
      <w:pPr>
        <w:rPr>
          <w:rFonts w:ascii="Book Antiqua" w:hAnsi="Book Antiqua"/>
          <w:sz w:val="28"/>
          <w:szCs w:val="28"/>
        </w:rPr>
      </w:pPr>
      <w:r w:rsidRPr="00B24AAE">
        <w:rPr>
          <w:rFonts w:ascii="Book Antiqua" w:hAnsi="Book Antiqua"/>
          <w:sz w:val="28"/>
          <w:szCs w:val="28"/>
        </w:rPr>
        <w:t xml:space="preserve">The rates below are those adopted by the Church of Ireland, which we </w:t>
      </w:r>
      <w:r w:rsidR="007E1092" w:rsidRPr="00B24AAE">
        <w:rPr>
          <w:rFonts w:ascii="Book Antiqua" w:hAnsi="Book Antiqua"/>
          <w:sz w:val="28"/>
          <w:szCs w:val="28"/>
        </w:rPr>
        <w:t>present</w:t>
      </w:r>
      <w:r w:rsidRPr="00B24AAE">
        <w:rPr>
          <w:rFonts w:ascii="Book Antiqua" w:hAnsi="Book Antiqua"/>
          <w:sz w:val="28"/>
          <w:szCs w:val="28"/>
        </w:rPr>
        <w:t xml:space="preserve"> for consideratio</w:t>
      </w:r>
      <w:r w:rsidR="00085203" w:rsidRPr="00B24AAE">
        <w:rPr>
          <w:rFonts w:ascii="Book Antiqua" w:hAnsi="Book Antiqua"/>
          <w:sz w:val="28"/>
          <w:szCs w:val="28"/>
        </w:rPr>
        <w:t>n at diocesan and parish level in order to attract and maintain the services of competent musicians. The Advisory Committee is at the same time aware</w:t>
      </w:r>
      <w:r w:rsidRPr="00B24AAE">
        <w:rPr>
          <w:rFonts w:ascii="Book Antiqua" w:hAnsi="Book Antiqua"/>
          <w:sz w:val="28"/>
          <w:szCs w:val="28"/>
        </w:rPr>
        <w:t xml:space="preserve"> that </w:t>
      </w:r>
      <w:r w:rsidR="005464AF" w:rsidRPr="00B24AAE">
        <w:rPr>
          <w:rFonts w:ascii="Book Antiqua" w:hAnsi="Book Antiqua"/>
          <w:sz w:val="28"/>
          <w:szCs w:val="28"/>
        </w:rPr>
        <w:t xml:space="preserve">economic shrinkage is a feature in </w:t>
      </w:r>
      <w:r w:rsidR="00085203" w:rsidRPr="00B24AAE">
        <w:rPr>
          <w:rFonts w:ascii="Book Antiqua" w:hAnsi="Book Antiqua"/>
          <w:sz w:val="28"/>
          <w:szCs w:val="28"/>
        </w:rPr>
        <w:t>many</w:t>
      </w:r>
      <w:r w:rsidR="005464AF" w:rsidRPr="00B24AAE">
        <w:rPr>
          <w:rFonts w:ascii="Book Antiqua" w:hAnsi="Book Antiqua"/>
          <w:sz w:val="28"/>
          <w:szCs w:val="28"/>
        </w:rPr>
        <w:t xml:space="preserve"> quarters</w:t>
      </w:r>
      <w:r w:rsidR="00085203" w:rsidRPr="00B24AAE">
        <w:rPr>
          <w:rFonts w:ascii="Book Antiqua" w:hAnsi="Book Antiqua"/>
          <w:sz w:val="28"/>
          <w:szCs w:val="28"/>
        </w:rPr>
        <w:t xml:space="preserve"> and emphasise</w:t>
      </w:r>
      <w:r w:rsidR="0060542E" w:rsidRPr="00B24AAE">
        <w:rPr>
          <w:rFonts w:ascii="Book Antiqua" w:hAnsi="Book Antiqua"/>
          <w:sz w:val="28"/>
          <w:szCs w:val="28"/>
        </w:rPr>
        <w:t>s</w:t>
      </w:r>
      <w:r w:rsidR="00085203" w:rsidRPr="00B24AAE">
        <w:rPr>
          <w:rFonts w:ascii="Book Antiqua" w:hAnsi="Book Antiqua"/>
          <w:sz w:val="28"/>
          <w:szCs w:val="28"/>
        </w:rPr>
        <w:t xml:space="preserve"> that these are merely guidelines, to be adapted to each parish’s particular financial circumstances.</w:t>
      </w:r>
    </w:p>
    <w:p w:rsidR="007E1092" w:rsidRPr="00B24AAE" w:rsidRDefault="007E1092" w:rsidP="007E1092">
      <w:pPr>
        <w:rPr>
          <w:rFonts w:ascii="Book Antiqua" w:hAnsi="Book Antiqua"/>
          <w:b/>
          <w:sz w:val="28"/>
          <w:szCs w:val="28"/>
        </w:rPr>
      </w:pPr>
      <w:r w:rsidRPr="00B24AAE">
        <w:rPr>
          <w:rFonts w:ascii="Book Antiqua" w:hAnsi="Book Antiqua"/>
          <w:b/>
          <w:sz w:val="28"/>
          <w:szCs w:val="28"/>
        </w:rPr>
        <w:t xml:space="preserve">Introductory Notes </w:t>
      </w:r>
    </w:p>
    <w:p w:rsidR="007E1092" w:rsidRPr="00B24AAE" w:rsidRDefault="007E1092" w:rsidP="007E1092">
      <w:pPr>
        <w:pStyle w:val="ListParagraph"/>
        <w:numPr>
          <w:ilvl w:val="0"/>
          <w:numId w:val="1"/>
        </w:numPr>
        <w:rPr>
          <w:rFonts w:ascii="Book Antiqua" w:hAnsi="Book Antiqua"/>
          <w:sz w:val="28"/>
          <w:szCs w:val="28"/>
        </w:rPr>
      </w:pPr>
      <w:r w:rsidRPr="00B24AAE">
        <w:rPr>
          <w:rFonts w:ascii="Book Antiqua" w:hAnsi="Book Antiqua"/>
          <w:sz w:val="28"/>
          <w:szCs w:val="28"/>
        </w:rPr>
        <w:t xml:space="preserve">The revised rates apply to well-trained </w:t>
      </w:r>
      <w:r w:rsidR="004075B2" w:rsidRPr="00B24AAE">
        <w:rPr>
          <w:rFonts w:ascii="Book Antiqua" w:hAnsi="Book Antiqua"/>
          <w:sz w:val="28"/>
          <w:szCs w:val="28"/>
        </w:rPr>
        <w:t xml:space="preserve">and competent </w:t>
      </w:r>
      <w:r w:rsidRPr="00B24AAE">
        <w:rPr>
          <w:rFonts w:ascii="Book Antiqua" w:hAnsi="Book Antiqua"/>
          <w:sz w:val="28"/>
          <w:szCs w:val="28"/>
        </w:rPr>
        <w:t xml:space="preserve">musicians appointed on a contract of service and whose main employment lies outside the field of music. </w:t>
      </w:r>
    </w:p>
    <w:p w:rsidR="007E1092" w:rsidRPr="00B24AAE" w:rsidRDefault="007E1092" w:rsidP="004075B2">
      <w:pPr>
        <w:pStyle w:val="ListParagraph"/>
        <w:numPr>
          <w:ilvl w:val="0"/>
          <w:numId w:val="1"/>
        </w:numPr>
        <w:rPr>
          <w:rFonts w:ascii="Book Antiqua" w:hAnsi="Book Antiqua"/>
          <w:sz w:val="28"/>
          <w:szCs w:val="28"/>
        </w:rPr>
      </w:pPr>
      <w:r w:rsidRPr="00B24AAE">
        <w:rPr>
          <w:rFonts w:ascii="Book Antiqua" w:hAnsi="Book Antiqua"/>
          <w:sz w:val="28"/>
          <w:szCs w:val="28"/>
        </w:rPr>
        <w:t>Professional musicians can reasonably ask</w:t>
      </w:r>
      <w:r w:rsidR="00F37BFC" w:rsidRPr="00B24AAE">
        <w:rPr>
          <w:rFonts w:ascii="Book Antiqua" w:hAnsi="Book Antiqua"/>
          <w:sz w:val="28"/>
          <w:szCs w:val="28"/>
        </w:rPr>
        <w:t xml:space="preserve"> for higher pay than above.  </w:t>
      </w:r>
      <w:r w:rsidR="004075B2" w:rsidRPr="00B24AAE">
        <w:rPr>
          <w:rFonts w:ascii="Book Antiqua" w:hAnsi="Book Antiqua"/>
          <w:sz w:val="28"/>
          <w:szCs w:val="28"/>
        </w:rPr>
        <w:t>Factors such as hours worked, qualifications and expertise, length of service, responsibility for a junior choir and the amount of preparation time and administrative work involved should also be taken into consideration.</w:t>
      </w:r>
    </w:p>
    <w:p w:rsidR="007E1092" w:rsidRPr="00B24AAE" w:rsidRDefault="007E1092" w:rsidP="007E1092">
      <w:pPr>
        <w:pStyle w:val="ListParagraph"/>
        <w:numPr>
          <w:ilvl w:val="0"/>
          <w:numId w:val="1"/>
        </w:numPr>
        <w:rPr>
          <w:rFonts w:ascii="Book Antiqua" w:hAnsi="Book Antiqua"/>
          <w:sz w:val="28"/>
          <w:szCs w:val="28"/>
        </w:rPr>
      </w:pPr>
      <w:r w:rsidRPr="00B24AAE">
        <w:rPr>
          <w:rFonts w:ascii="Book Antiqua" w:hAnsi="Book Antiqua"/>
          <w:sz w:val="28"/>
          <w:szCs w:val="28"/>
        </w:rPr>
        <w:t xml:space="preserve">The annual rates cover attendance on up to seven occasions in addition to regular Sunday services, e.g. Christmas (3), Holy Week (2), Confirmation (1) and one other. </w:t>
      </w:r>
    </w:p>
    <w:p w:rsidR="004075B2" w:rsidRPr="00B24AAE" w:rsidRDefault="004075B2" w:rsidP="004075B2">
      <w:pPr>
        <w:pStyle w:val="ListParagraph"/>
        <w:numPr>
          <w:ilvl w:val="0"/>
          <w:numId w:val="1"/>
        </w:numPr>
        <w:rPr>
          <w:rFonts w:ascii="Book Antiqua" w:hAnsi="Book Antiqua"/>
          <w:sz w:val="28"/>
          <w:szCs w:val="28"/>
        </w:rPr>
      </w:pPr>
      <w:r w:rsidRPr="00B24AAE">
        <w:rPr>
          <w:rFonts w:ascii="Book Antiqua" w:hAnsi="Book Antiqua"/>
          <w:sz w:val="28"/>
          <w:szCs w:val="28"/>
        </w:rPr>
        <w:lastRenderedPageBreak/>
        <w:t>The rates relate to situations where one person works as both organist and choir director. Where two persons are employed to share these responsibilities, the parish should recognise the amount of spent in rehearsals, services and administration. It is recommended that each should receive at least 75% of the relevant rate, with the implication that the total cost to the parish will be at least 50% higher.</w:t>
      </w:r>
    </w:p>
    <w:p w:rsidR="007E1092" w:rsidRPr="00B24AAE" w:rsidRDefault="007E1092" w:rsidP="007E1092">
      <w:pPr>
        <w:pStyle w:val="ListParagraph"/>
        <w:numPr>
          <w:ilvl w:val="0"/>
          <w:numId w:val="1"/>
        </w:numPr>
        <w:rPr>
          <w:rFonts w:ascii="Book Antiqua" w:hAnsi="Book Antiqua"/>
          <w:sz w:val="28"/>
          <w:szCs w:val="28"/>
        </w:rPr>
      </w:pPr>
      <w:r w:rsidRPr="00B24AAE">
        <w:rPr>
          <w:rFonts w:ascii="Book Antiqua" w:hAnsi="Book Antiqua"/>
          <w:sz w:val="28"/>
          <w:szCs w:val="28"/>
        </w:rPr>
        <w:t>In the case of all appointments, remuneration should take account of working time, expertise, qualifications, and overall responsibilities, including administrative.</w:t>
      </w:r>
    </w:p>
    <w:p w:rsidR="00F34502" w:rsidRPr="00B24AAE" w:rsidRDefault="00F34502" w:rsidP="00F34502">
      <w:pPr>
        <w:pStyle w:val="ListParagraph"/>
        <w:numPr>
          <w:ilvl w:val="0"/>
          <w:numId w:val="1"/>
        </w:numPr>
        <w:rPr>
          <w:rFonts w:ascii="Book Antiqua" w:hAnsi="Book Antiqua"/>
          <w:sz w:val="28"/>
          <w:szCs w:val="28"/>
        </w:rPr>
      </w:pPr>
      <w:r w:rsidRPr="00B24AAE">
        <w:rPr>
          <w:rFonts w:ascii="Book Antiqua" w:hAnsi="Book Antiqua"/>
          <w:sz w:val="28"/>
          <w:szCs w:val="28"/>
        </w:rPr>
        <w:t>Additional payment should be made for duties over and above those set out in the contract.</w:t>
      </w:r>
    </w:p>
    <w:p w:rsidR="00F34502" w:rsidRPr="00B24AAE" w:rsidRDefault="00F34502" w:rsidP="00F34502">
      <w:pPr>
        <w:pStyle w:val="ListParagraph"/>
        <w:numPr>
          <w:ilvl w:val="0"/>
          <w:numId w:val="1"/>
        </w:numPr>
        <w:rPr>
          <w:rFonts w:ascii="Book Antiqua" w:hAnsi="Book Antiqua"/>
          <w:sz w:val="28"/>
          <w:szCs w:val="28"/>
        </w:rPr>
      </w:pPr>
      <w:r w:rsidRPr="00B24AAE">
        <w:rPr>
          <w:rFonts w:ascii="Book Antiqua" w:hAnsi="Book Antiqua"/>
          <w:sz w:val="28"/>
          <w:szCs w:val="28"/>
        </w:rPr>
        <w:t>Statutory annual holiday and sick pay arrangements should apply in the case of contracts of service. In other cases, musicians should be given at least four Sundays leave each year, the parish paying the deputy.</w:t>
      </w:r>
    </w:p>
    <w:p w:rsidR="005464AF" w:rsidRPr="00B24AAE" w:rsidRDefault="005464AF" w:rsidP="005464AF">
      <w:pPr>
        <w:rPr>
          <w:rFonts w:ascii="Book Antiqua" w:hAnsi="Book Antiqua"/>
          <w:sz w:val="28"/>
          <w:szCs w:val="28"/>
        </w:rPr>
      </w:pPr>
      <w:r w:rsidRPr="00B24AAE">
        <w:rPr>
          <w:rFonts w:ascii="Book Antiqua" w:hAnsi="Book Antiqua"/>
          <w:sz w:val="28"/>
          <w:szCs w:val="28"/>
        </w:rPr>
        <w:t xml:space="preserve">These guidelines are </w:t>
      </w:r>
      <w:r w:rsidR="007A2108" w:rsidRPr="00B24AAE">
        <w:rPr>
          <w:rFonts w:ascii="Book Antiqua" w:hAnsi="Book Antiqua"/>
          <w:b/>
          <w:sz w:val="28"/>
          <w:szCs w:val="28"/>
        </w:rPr>
        <w:t>advisory</w:t>
      </w:r>
      <w:r w:rsidR="007A2108" w:rsidRPr="00B24AAE">
        <w:rPr>
          <w:rFonts w:ascii="Book Antiqua" w:hAnsi="Book Antiqua"/>
          <w:sz w:val="28"/>
          <w:szCs w:val="28"/>
        </w:rPr>
        <w:t xml:space="preserve">, with the recommended rates </w:t>
      </w:r>
      <w:r w:rsidR="007A2108" w:rsidRPr="00B24AAE">
        <w:rPr>
          <w:rFonts w:ascii="Book Antiqua" w:hAnsi="Book Antiqua"/>
          <w:b/>
          <w:sz w:val="28"/>
          <w:szCs w:val="28"/>
        </w:rPr>
        <w:t>in the right hand column below.</w:t>
      </w:r>
    </w:p>
    <w:tbl>
      <w:tblPr>
        <w:tblStyle w:val="TableGrid"/>
        <w:tblW w:w="0" w:type="auto"/>
        <w:tblLook w:val="04A0" w:firstRow="1" w:lastRow="0" w:firstColumn="1" w:lastColumn="0" w:noHBand="0" w:noVBand="1"/>
      </w:tblPr>
      <w:tblGrid>
        <w:gridCol w:w="988"/>
        <w:gridCol w:w="4110"/>
        <w:gridCol w:w="1126"/>
        <w:gridCol w:w="1276"/>
      </w:tblGrid>
      <w:tr w:rsidR="00D60C02" w:rsidRPr="00B24AAE" w:rsidTr="00D60C02">
        <w:tc>
          <w:tcPr>
            <w:tcW w:w="988" w:type="dxa"/>
          </w:tcPr>
          <w:p w:rsidR="00D60C02" w:rsidRPr="00B24AAE" w:rsidRDefault="00D60C02" w:rsidP="001D3C0F">
            <w:pPr>
              <w:rPr>
                <w:rFonts w:ascii="Book Antiqua" w:hAnsi="Book Antiqua"/>
                <w:sz w:val="28"/>
                <w:szCs w:val="28"/>
              </w:rPr>
            </w:pPr>
          </w:p>
        </w:tc>
        <w:tc>
          <w:tcPr>
            <w:tcW w:w="4110" w:type="dxa"/>
          </w:tcPr>
          <w:p w:rsidR="00D60C02" w:rsidRPr="00B24AAE" w:rsidRDefault="00D60C02" w:rsidP="001D3C0F">
            <w:pPr>
              <w:rPr>
                <w:rFonts w:ascii="Book Antiqua" w:hAnsi="Book Antiqua"/>
                <w:sz w:val="28"/>
                <w:szCs w:val="28"/>
              </w:rPr>
            </w:pPr>
          </w:p>
        </w:tc>
        <w:tc>
          <w:tcPr>
            <w:tcW w:w="284" w:type="dxa"/>
          </w:tcPr>
          <w:p w:rsidR="00D60C02" w:rsidRPr="00B24AAE" w:rsidRDefault="00D60C02" w:rsidP="001D3C0F">
            <w:pPr>
              <w:ind w:right="-164"/>
              <w:rPr>
                <w:rFonts w:ascii="Book Antiqua" w:hAnsi="Book Antiqua"/>
                <w:sz w:val="28"/>
                <w:szCs w:val="28"/>
              </w:rPr>
            </w:pPr>
            <w:r w:rsidRPr="00B24AAE">
              <w:rPr>
                <w:rFonts w:ascii="Book Antiqua" w:hAnsi="Book Antiqua"/>
                <w:sz w:val="28"/>
                <w:szCs w:val="28"/>
              </w:rPr>
              <w:t>2024</w:t>
            </w:r>
          </w:p>
        </w:tc>
        <w:tc>
          <w:tcPr>
            <w:tcW w:w="1276" w:type="dxa"/>
          </w:tcPr>
          <w:p w:rsidR="00D60C02" w:rsidRPr="00B24AAE" w:rsidRDefault="00D60C02" w:rsidP="001D3C0F">
            <w:pPr>
              <w:rPr>
                <w:rFonts w:ascii="Book Antiqua" w:hAnsi="Book Antiqua"/>
                <w:b/>
                <w:sz w:val="28"/>
                <w:szCs w:val="28"/>
              </w:rPr>
            </w:pPr>
            <w:r w:rsidRPr="00B24AAE">
              <w:rPr>
                <w:rFonts w:ascii="Book Antiqua" w:hAnsi="Book Antiqua"/>
                <w:b/>
                <w:sz w:val="28"/>
                <w:szCs w:val="28"/>
              </w:rPr>
              <w:t>2025</w:t>
            </w:r>
          </w:p>
        </w:tc>
      </w:tr>
      <w:tr w:rsidR="00D60C02" w:rsidRPr="00B24AAE" w:rsidTr="00D60C02">
        <w:tc>
          <w:tcPr>
            <w:tcW w:w="988" w:type="dxa"/>
          </w:tcPr>
          <w:p w:rsidR="00D60C02" w:rsidRPr="00B24AAE" w:rsidRDefault="00D60C02" w:rsidP="00D60C02">
            <w:pPr>
              <w:rPr>
                <w:rFonts w:ascii="Book Antiqua" w:hAnsi="Book Antiqua"/>
                <w:sz w:val="28"/>
                <w:szCs w:val="28"/>
              </w:rPr>
            </w:pPr>
            <w:r w:rsidRPr="00B24AAE">
              <w:rPr>
                <w:rFonts w:ascii="Book Antiqua" w:hAnsi="Book Antiqua"/>
                <w:sz w:val="28"/>
                <w:szCs w:val="28"/>
              </w:rPr>
              <w:t>Band A</w:t>
            </w:r>
          </w:p>
        </w:tc>
        <w:tc>
          <w:tcPr>
            <w:tcW w:w="4110" w:type="dxa"/>
          </w:tcPr>
          <w:p w:rsidR="00D60C02" w:rsidRPr="00B24AAE" w:rsidRDefault="00D60C02" w:rsidP="00D60C02">
            <w:pPr>
              <w:rPr>
                <w:rFonts w:ascii="Book Antiqua" w:hAnsi="Book Antiqua"/>
                <w:sz w:val="28"/>
                <w:szCs w:val="28"/>
              </w:rPr>
            </w:pPr>
            <w:r w:rsidRPr="00B24AAE">
              <w:rPr>
                <w:rFonts w:ascii="Book Antiqua" w:hAnsi="Book Antiqua"/>
                <w:sz w:val="28"/>
                <w:szCs w:val="28"/>
              </w:rPr>
              <w:t>One Sunday service, no choir</w:t>
            </w:r>
          </w:p>
        </w:tc>
        <w:tc>
          <w:tcPr>
            <w:tcW w:w="284" w:type="dxa"/>
          </w:tcPr>
          <w:p w:rsidR="00D60C02" w:rsidRPr="00B24AAE" w:rsidRDefault="00D60C02" w:rsidP="00D60C02">
            <w:pPr>
              <w:rPr>
                <w:rFonts w:ascii="Book Antiqua" w:hAnsi="Book Antiqua"/>
                <w:sz w:val="28"/>
                <w:szCs w:val="28"/>
              </w:rPr>
            </w:pPr>
            <w:r w:rsidRPr="00B24AAE">
              <w:rPr>
                <w:rFonts w:ascii="Book Antiqua" w:hAnsi="Book Antiqua"/>
                <w:sz w:val="28"/>
                <w:szCs w:val="28"/>
              </w:rPr>
              <w:t>€6,048</w:t>
            </w:r>
          </w:p>
        </w:tc>
        <w:tc>
          <w:tcPr>
            <w:tcW w:w="1276" w:type="dxa"/>
          </w:tcPr>
          <w:p w:rsidR="00D60C02" w:rsidRPr="00B24AAE" w:rsidRDefault="00D60C02" w:rsidP="00D60C02">
            <w:pPr>
              <w:rPr>
                <w:rFonts w:ascii="Book Antiqua" w:hAnsi="Book Antiqua"/>
                <w:b/>
                <w:sz w:val="28"/>
                <w:szCs w:val="28"/>
              </w:rPr>
            </w:pPr>
            <w:r w:rsidRPr="00B24AAE">
              <w:rPr>
                <w:rFonts w:ascii="Book Antiqua" w:hAnsi="Book Antiqua"/>
                <w:b/>
                <w:sz w:val="28"/>
                <w:szCs w:val="28"/>
              </w:rPr>
              <w:t>€6,181</w:t>
            </w:r>
          </w:p>
        </w:tc>
      </w:tr>
      <w:tr w:rsidR="00D60C02" w:rsidRPr="00B24AAE" w:rsidTr="00D60C02">
        <w:tc>
          <w:tcPr>
            <w:tcW w:w="988" w:type="dxa"/>
          </w:tcPr>
          <w:p w:rsidR="00D60C02" w:rsidRPr="00B24AAE" w:rsidRDefault="00D60C02" w:rsidP="00D60C02">
            <w:pPr>
              <w:rPr>
                <w:rFonts w:ascii="Book Antiqua" w:hAnsi="Book Antiqua"/>
                <w:sz w:val="28"/>
                <w:szCs w:val="28"/>
              </w:rPr>
            </w:pPr>
            <w:r w:rsidRPr="00B24AAE">
              <w:rPr>
                <w:rFonts w:ascii="Book Antiqua" w:hAnsi="Book Antiqua"/>
                <w:sz w:val="28"/>
                <w:szCs w:val="28"/>
              </w:rPr>
              <w:t>Band B</w:t>
            </w:r>
          </w:p>
        </w:tc>
        <w:tc>
          <w:tcPr>
            <w:tcW w:w="4110" w:type="dxa"/>
          </w:tcPr>
          <w:p w:rsidR="00D60C02" w:rsidRPr="00B24AAE" w:rsidRDefault="00D60C02" w:rsidP="00D60C02">
            <w:pPr>
              <w:rPr>
                <w:rFonts w:ascii="Book Antiqua" w:hAnsi="Book Antiqua"/>
                <w:sz w:val="28"/>
                <w:szCs w:val="28"/>
              </w:rPr>
            </w:pPr>
            <w:r w:rsidRPr="00B24AAE">
              <w:rPr>
                <w:rFonts w:ascii="Book Antiqua" w:hAnsi="Book Antiqua"/>
                <w:sz w:val="28"/>
                <w:szCs w:val="28"/>
              </w:rPr>
              <w:t>Sunday Service and Sunday choir rehearsal</w:t>
            </w:r>
          </w:p>
        </w:tc>
        <w:tc>
          <w:tcPr>
            <w:tcW w:w="284" w:type="dxa"/>
          </w:tcPr>
          <w:p w:rsidR="00D60C02" w:rsidRPr="00B24AAE" w:rsidRDefault="00D60C02" w:rsidP="00D60C02">
            <w:pPr>
              <w:rPr>
                <w:rFonts w:ascii="Book Antiqua" w:hAnsi="Book Antiqua"/>
                <w:sz w:val="28"/>
                <w:szCs w:val="28"/>
              </w:rPr>
            </w:pPr>
            <w:r w:rsidRPr="00B24AAE">
              <w:rPr>
                <w:rFonts w:ascii="Book Antiqua" w:hAnsi="Book Antiqua"/>
                <w:sz w:val="28"/>
                <w:szCs w:val="28"/>
              </w:rPr>
              <w:t>€7,639</w:t>
            </w:r>
          </w:p>
        </w:tc>
        <w:tc>
          <w:tcPr>
            <w:tcW w:w="1276" w:type="dxa"/>
          </w:tcPr>
          <w:p w:rsidR="00D60C02" w:rsidRPr="00B24AAE" w:rsidRDefault="00D60C02" w:rsidP="00D60C02">
            <w:pPr>
              <w:rPr>
                <w:rFonts w:ascii="Book Antiqua" w:hAnsi="Book Antiqua"/>
                <w:b/>
                <w:sz w:val="28"/>
                <w:szCs w:val="28"/>
              </w:rPr>
            </w:pPr>
            <w:r w:rsidRPr="00B24AAE">
              <w:rPr>
                <w:rFonts w:ascii="Book Antiqua" w:hAnsi="Book Antiqua"/>
                <w:b/>
                <w:sz w:val="28"/>
                <w:szCs w:val="28"/>
              </w:rPr>
              <w:t>€7,807</w:t>
            </w:r>
          </w:p>
        </w:tc>
      </w:tr>
      <w:tr w:rsidR="00D60C02" w:rsidRPr="00B24AAE" w:rsidTr="00D60C02">
        <w:tc>
          <w:tcPr>
            <w:tcW w:w="988" w:type="dxa"/>
          </w:tcPr>
          <w:p w:rsidR="00D60C02" w:rsidRPr="00B24AAE" w:rsidRDefault="00D60C02" w:rsidP="00D60C02">
            <w:pPr>
              <w:rPr>
                <w:rFonts w:ascii="Book Antiqua" w:hAnsi="Book Antiqua"/>
                <w:sz w:val="28"/>
                <w:szCs w:val="28"/>
              </w:rPr>
            </w:pPr>
            <w:r w:rsidRPr="00B24AAE">
              <w:rPr>
                <w:rFonts w:ascii="Book Antiqua" w:hAnsi="Book Antiqua"/>
                <w:sz w:val="28"/>
                <w:szCs w:val="28"/>
              </w:rPr>
              <w:t>Band C</w:t>
            </w:r>
          </w:p>
        </w:tc>
        <w:tc>
          <w:tcPr>
            <w:tcW w:w="4110" w:type="dxa"/>
          </w:tcPr>
          <w:p w:rsidR="00D60C02" w:rsidRPr="00B24AAE" w:rsidRDefault="00D60C02" w:rsidP="00D60C02">
            <w:pPr>
              <w:rPr>
                <w:rFonts w:ascii="Book Antiqua" w:hAnsi="Book Antiqua"/>
                <w:sz w:val="28"/>
                <w:szCs w:val="28"/>
              </w:rPr>
            </w:pPr>
            <w:r w:rsidRPr="00B24AAE">
              <w:rPr>
                <w:rFonts w:ascii="Book Antiqua" w:hAnsi="Book Antiqua"/>
                <w:sz w:val="28"/>
                <w:szCs w:val="28"/>
              </w:rPr>
              <w:t>One Sunday service, weekday rehearsal</w:t>
            </w:r>
          </w:p>
        </w:tc>
        <w:tc>
          <w:tcPr>
            <w:tcW w:w="284" w:type="dxa"/>
          </w:tcPr>
          <w:p w:rsidR="00D60C02" w:rsidRPr="00B24AAE" w:rsidRDefault="00D60C02" w:rsidP="00D60C02">
            <w:pPr>
              <w:rPr>
                <w:rFonts w:ascii="Book Antiqua" w:hAnsi="Book Antiqua"/>
                <w:sz w:val="28"/>
                <w:szCs w:val="28"/>
              </w:rPr>
            </w:pPr>
            <w:r w:rsidRPr="00B24AAE">
              <w:rPr>
                <w:rFonts w:ascii="Book Antiqua" w:hAnsi="Book Antiqua"/>
                <w:sz w:val="28"/>
                <w:szCs w:val="28"/>
              </w:rPr>
              <w:t>€9,231</w:t>
            </w:r>
          </w:p>
        </w:tc>
        <w:tc>
          <w:tcPr>
            <w:tcW w:w="1276" w:type="dxa"/>
          </w:tcPr>
          <w:p w:rsidR="00D60C02" w:rsidRPr="00B24AAE" w:rsidRDefault="00D60C02" w:rsidP="00D60C02">
            <w:pPr>
              <w:rPr>
                <w:rFonts w:ascii="Book Antiqua" w:hAnsi="Book Antiqua"/>
                <w:b/>
                <w:sz w:val="28"/>
                <w:szCs w:val="28"/>
              </w:rPr>
            </w:pPr>
            <w:r w:rsidRPr="00B24AAE">
              <w:rPr>
                <w:rFonts w:ascii="Book Antiqua" w:hAnsi="Book Antiqua"/>
                <w:b/>
                <w:sz w:val="28"/>
                <w:szCs w:val="28"/>
              </w:rPr>
              <w:t>€9,434</w:t>
            </w:r>
          </w:p>
        </w:tc>
      </w:tr>
      <w:tr w:rsidR="00D60C02" w:rsidRPr="00B24AAE" w:rsidTr="00D60C02">
        <w:tc>
          <w:tcPr>
            <w:tcW w:w="988" w:type="dxa"/>
          </w:tcPr>
          <w:p w:rsidR="00D60C02" w:rsidRPr="00B24AAE" w:rsidRDefault="00D60C02" w:rsidP="00D60C02">
            <w:pPr>
              <w:rPr>
                <w:rFonts w:ascii="Book Antiqua" w:hAnsi="Book Antiqua"/>
                <w:sz w:val="28"/>
                <w:szCs w:val="28"/>
              </w:rPr>
            </w:pPr>
            <w:r w:rsidRPr="00B24AAE">
              <w:rPr>
                <w:rFonts w:ascii="Book Antiqua" w:hAnsi="Book Antiqua"/>
                <w:sz w:val="28"/>
                <w:szCs w:val="28"/>
              </w:rPr>
              <w:t>Band D</w:t>
            </w:r>
          </w:p>
        </w:tc>
        <w:tc>
          <w:tcPr>
            <w:tcW w:w="4110" w:type="dxa"/>
          </w:tcPr>
          <w:p w:rsidR="00D60C02" w:rsidRPr="00B24AAE" w:rsidRDefault="00D60C02" w:rsidP="00D60C02">
            <w:pPr>
              <w:rPr>
                <w:rFonts w:ascii="Book Antiqua" w:hAnsi="Book Antiqua"/>
                <w:sz w:val="28"/>
                <w:szCs w:val="28"/>
              </w:rPr>
            </w:pPr>
            <w:r w:rsidRPr="00B24AAE">
              <w:rPr>
                <w:rFonts w:ascii="Book Antiqua" w:hAnsi="Book Antiqua"/>
                <w:sz w:val="28"/>
                <w:szCs w:val="28"/>
              </w:rPr>
              <w:t>Two services, no choir</w:t>
            </w:r>
          </w:p>
        </w:tc>
        <w:tc>
          <w:tcPr>
            <w:tcW w:w="284" w:type="dxa"/>
          </w:tcPr>
          <w:p w:rsidR="00D60C02" w:rsidRPr="00B24AAE" w:rsidRDefault="00D60C02" w:rsidP="00D60C02">
            <w:pPr>
              <w:rPr>
                <w:rFonts w:ascii="Book Antiqua" w:hAnsi="Book Antiqua"/>
                <w:sz w:val="28"/>
                <w:szCs w:val="28"/>
              </w:rPr>
            </w:pPr>
            <w:r w:rsidRPr="00B24AAE">
              <w:rPr>
                <w:rFonts w:ascii="Book Antiqua" w:hAnsi="Book Antiqua"/>
                <w:sz w:val="28"/>
                <w:szCs w:val="28"/>
              </w:rPr>
              <w:t>€9,231</w:t>
            </w:r>
          </w:p>
        </w:tc>
        <w:tc>
          <w:tcPr>
            <w:tcW w:w="1276" w:type="dxa"/>
          </w:tcPr>
          <w:p w:rsidR="00D60C02" w:rsidRPr="00B24AAE" w:rsidRDefault="00D60C02" w:rsidP="00D60C02">
            <w:pPr>
              <w:rPr>
                <w:rFonts w:ascii="Book Antiqua" w:hAnsi="Book Antiqua"/>
                <w:b/>
                <w:sz w:val="28"/>
                <w:szCs w:val="28"/>
              </w:rPr>
            </w:pPr>
            <w:r w:rsidRPr="00B24AAE">
              <w:rPr>
                <w:rFonts w:ascii="Book Antiqua" w:hAnsi="Book Antiqua"/>
                <w:b/>
                <w:sz w:val="28"/>
                <w:szCs w:val="28"/>
              </w:rPr>
              <w:t>€9,434</w:t>
            </w:r>
          </w:p>
        </w:tc>
      </w:tr>
      <w:tr w:rsidR="00D60C02" w:rsidRPr="00B24AAE" w:rsidTr="00D60C02">
        <w:tc>
          <w:tcPr>
            <w:tcW w:w="988" w:type="dxa"/>
          </w:tcPr>
          <w:p w:rsidR="00D60C02" w:rsidRPr="00B24AAE" w:rsidRDefault="00D60C02" w:rsidP="00D60C02">
            <w:pPr>
              <w:rPr>
                <w:rFonts w:ascii="Book Antiqua" w:hAnsi="Book Antiqua"/>
                <w:sz w:val="28"/>
                <w:szCs w:val="28"/>
              </w:rPr>
            </w:pPr>
            <w:r w:rsidRPr="00B24AAE">
              <w:rPr>
                <w:rFonts w:ascii="Book Antiqua" w:hAnsi="Book Antiqua"/>
                <w:sz w:val="28"/>
                <w:szCs w:val="28"/>
              </w:rPr>
              <w:t>Band E</w:t>
            </w:r>
          </w:p>
        </w:tc>
        <w:tc>
          <w:tcPr>
            <w:tcW w:w="4110" w:type="dxa"/>
          </w:tcPr>
          <w:p w:rsidR="00D60C02" w:rsidRPr="00B24AAE" w:rsidRDefault="00D60C02" w:rsidP="00D60C02">
            <w:pPr>
              <w:rPr>
                <w:rFonts w:ascii="Book Antiqua" w:hAnsi="Book Antiqua"/>
                <w:sz w:val="28"/>
                <w:szCs w:val="28"/>
              </w:rPr>
            </w:pPr>
            <w:r w:rsidRPr="00B24AAE">
              <w:rPr>
                <w:rFonts w:ascii="Book Antiqua" w:hAnsi="Book Antiqua"/>
                <w:sz w:val="28"/>
                <w:szCs w:val="28"/>
              </w:rPr>
              <w:t>Two services, Sunday choir rehearsal</w:t>
            </w:r>
          </w:p>
        </w:tc>
        <w:tc>
          <w:tcPr>
            <w:tcW w:w="284" w:type="dxa"/>
          </w:tcPr>
          <w:p w:rsidR="00D60C02" w:rsidRPr="00B24AAE" w:rsidRDefault="00D60C02" w:rsidP="00D60C02">
            <w:pPr>
              <w:rPr>
                <w:rFonts w:ascii="Book Antiqua" w:hAnsi="Book Antiqua"/>
                <w:sz w:val="28"/>
                <w:szCs w:val="28"/>
              </w:rPr>
            </w:pPr>
            <w:r w:rsidRPr="00B24AAE">
              <w:rPr>
                <w:rFonts w:ascii="Book Antiqua" w:hAnsi="Book Antiqua"/>
                <w:sz w:val="28"/>
                <w:szCs w:val="28"/>
              </w:rPr>
              <w:t>€11,777</w:t>
            </w:r>
          </w:p>
        </w:tc>
        <w:tc>
          <w:tcPr>
            <w:tcW w:w="1276" w:type="dxa"/>
          </w:tcPr>
          <w:p w:rsidR="00D60C02" w:rsidRPr="00B24AAE" w:rsidRDefault="00D60C02" w:rsidP="00D60C02">
            <w:pPr>
              <w:rPr>
                <w:rFonts w:ascii="Book Antiqua" w:hAnsi="Book Antiqua"/>
                <w:b/>
                <w:sz w:val="28"/>
                <w:szCs w:val="28"/>
              </w:rPr>
            </w:pPr>
            <w:r w:rsidRPr="00B24AAE">
              <w:rPr>
                <w:rFonts w:ascii="Book Antiqua" w:hAnsi="Book Antiqua"/>
                <w:b/>
                <w:sz w:val="28"/>
                <w:szCs w:val="28"/>
              </w:rPr>
              <w:t>€12,036</w:t>
            </w:r>
          </w:p>
        </w:tc>
      </w:tr>
      <w:tr w:rsidR="00D60C02" w:rsidRPr="00B24AAE" w:rsidTr="00D60C02">
        <w:tc>
          <w:tcPr>
            <w:tcW w:w="988" w:type="dxa"/>
          </w:tcPr>
          <w:p w:rsidR="00D60C02" w:rsidRPr="00B24AAE" w:rsidRDefault="00D60C02" w:rsidP="00D60C02">
            <w:pPr>
              <w:rPr>
                <w:rFonts w:ascii="Book Antiqua" w:hAnsi="Book Antiqua"/>
                <w:sz w:val="28"/>
                <w:szCs w:val="28"/>
              </w:rPr>
            </w:pPr>
            <w:r w:rsidRPr="00B24AAE">
              <w:rPr>
                <w:rFonts w:ascii="Book Antiqua" w:hAnsi="Book Antiqua"/>
                <w:sz w:val="28"/>
                <w:szCs w:val="28"/>
              </w:rPr>
              <w:t>Band F</w:t>
            </w:r>
          </w:p>
        </w:tc>
        <w:tc>
          <w:tcPr>
            <w:tcW w:w="4110" w:type="dxa"/>
          </w:tcPr>
          <w:p w:rsidR="00D60C02" w:rsidRPr="00B24AAE" w:rsidRDefault="00D60C02" w:rsidP="00D60C02">
            <w:pPr>
              <w:rPr>
                <w:rFonts w:ascii="Book Antiqua" w:hAnsi="Book Antiqua"/>
                <w:sz w:val="28"/>
                <w:szCs w:val="28"/>
              </w:rPr>
            </w:pPr>
            <w:r w:rsidRPr="00B24AAE">
              <w:rPr>
                <w:rFonts w:ascii="Book Antiqua" w:hAnsi="Book Antiqua"/>
                <w:sz w:val="28"/>
                <w:szCs w:val="28"/>
              </w:rPr>
              <w:t>Two Sunday services, weekday choir rehearsal</w:t>
            </w:r>
          </w:p>
        </w:tc>
        <w:tc>
          <w:tcPr>
            <w:tcW w:w="284" w:type="dxa"/>
          </w:tcPr>
          <w:p w:rsidR="00D60C02" w:rsidRPr="00B24AAE" w:rsidRDefault="00D60C02" w:rsidP="00D60C02">
            <w:pPr>
              <w:rPr>
                <w:rFonts w:ascii="Book Antiqua" w:hAnsi="Book Antiqua"/>
                <w:sz w:val="28"/>
                <w:szCs w:val="28"/>
              </w:rPr>
            </w:pPr>
            <w:r w:rsidRPr="00B24AAE">
              <w:rPr>
                <w:rFonts w:ascii="Book Antiqua" w:hAnsi="Book Antiqua"/>
                <w:sz w:val="28"/>
                <w:szCs w:val="28"/>
              </w:rPr>
              <w:t>€13,369</w:t>
            </w:r>
          </w:p>
        </w:tc>
        <w:tc>
          <w:tcPr>
            <w:tcW w:w="1276" w:type="dxa"/>
          </w:tcPr>
          <w:p w:rsidR="00D60C02" w:rsidRPr="00B24AAE" w:rsidRDefault="00D60C02" w:rsidP="00D60C02">
            <w:pPr>
              <w:rPr>
                <w:rFonts w:ascii="Book Antiqua" w:hAnsi="Book Antiqua"/>
                <w:b/>
                <w:sz w:val="28"/>
                <w:szCs w:val="28"/>
              </w:rPr>
            </w:pPr>
            <w:r w:rsidRPr="00B24AAE">
              <w:rPr>
                <w:rFonts w:ascii="Book Antiqua" w:hAnsi="Book Antiqua"/>
                <w:b/>
                <w:sz w:val="28"/>
                <w:szCs w:val="28"/>
              </w:rPr>
              <w:t>€13,663</w:t>
            </w:r>
          </w:p>
        </w:tc>
      </w:tr>
    </w:tbl>
    <w:p w:rsidR="005464AF" w:rsidRPr="00B24AAE" w:rsidRDefault="00191EC2">
      <w:pPr>
        <w:rPr>
          <w:rFonts w:ascii="Book Antiqua" w:hAnsi="Book Antiqua"/>
          <w:sz w:val="28"/>
          <w:szCs w:val="28"/>
        </w:rPr>
      </w:pPr>
      <w:r w:rsidRPr="00B24AAE">
        <w:rPr>
          <w:rFonts w:ascii="Book Antiqua" w:hAnsi="Book Antiqua"/>
          <w:sz w:val="28"/>
          <w:szCs w:val="28"/>
        </w:rPr>
        <w:t>The minimum suggested fee for de</w:t>
      </w:r>
      <w:r w:rsidR="00D60C02" w:rsidRPr="00B24AAE">
        <w:rPr>
          <w:rFonts w:ascii="Book Antiqua" w:hAnsi="Book Antiqua"/>
          <w:sz w:val="28"/>
          <w:szCs w:val="28"/>
        </w:rPr>
        <w:t>puty and occasional work is €110</w:t>
      </w:r>
      <w:r w:rsidRPr="00B24AAE">
        <w:rPr>
          <w:rFonts w:ascii="Book Antiqua" w:hAnsi="Book Antiqua"/>
          <w:sz w:val="28"/>
          <w:szCs w:val="28"/>
        </w:rPr>
        <w:t xml:space="preserve"> for each service plus out-of-pocket expenses when significant travel is involved.</w:t>
      </w:r>
    </w:p>
    <w:p w:rsidR="007E1092" w:rsidRPr="00B24AAE" w:rsidRDefault="00191EC2" w:rsidP="00BE66A4">
      <w:pPr>
        <w:rPr>
          <w:rFonts w:ascii="Book Antiqua" w:hAnsi="Book Antiqua"/>
          <w:sz w:val="28"/>
          <w:szCs w:val="28"/>
        </w:rPr>
      </w:pPr>
      <w:r w:rsidRPr="00B24AAE">
        <w:rPr>
          <w:rFonts w:ascii="Book Antiqua" w:hAnsi="Book Antiqua"/>
          <w:b/>
          <w:sz w:val="28"/>
          <w:szCs w:val="28"/>
        </w:rPr>
        <w:lastRenderedPageBreak/>
        <w:t>Funerals</w:t>
      </w:r>
      <w:r w:rsidRPr="00B24AAE">
        <w:rPr>
          <w:rFonts w:ascii="Book Antiqua" w:hAnsi="Book Antiqua"/>
          <w:sz w:val="28"/>
          <w:szCs w:val="28"/>
        </w:rPr>
        <w:t>:  minimum €175.</w:t>
      </w:r>
      <w:r w:rsidRPr="00B24AAE">
        <w:rPr>
          <w:rFonts w:ascii="Book Antiqua" w:hAnsi="Book Antiqua"/>
          <w:sz w:val="28"/>
          <w:szCs w:val="28"/>
        </w:rPr>
        <w:tab/>
      </w:r>
      <w:r w:rsidRPr="00B24AAE">
        <w:rPr>
          <w:rFonts w:ascii="Book Antiqua" w:hAnsi="Book Antiqua"/>
          <w:b/>
          <w:sz w:val="28"/>
          <w:szCs w:val="28"/>
        </w:rPr>
        <w:t>Weddings</w:t>
      </w:r>
      <w:r w:rsidR="003102E2" w:rsidRPr="00B24AAE">
        <w:rPr>
          <w:rFonts w:ascii="Book Antiqua" w:hAnsi="Book Antiqua"/>
          <w:sz w:val="28"/>
          <w:szCs w:val="28"/>
        </w:rPr>
        <w:t xml:space="preserve">:  minimum </w:t>
      </w:r>
      <w:r w:rsidRPr="00B24AAE">
        <w:rPr>
          <w:rFonts w:ascii="Book Antiqua" w:hAnsi="Book Antiqua"/>
          <w:sz w:val="28"/>
          <w:szCs w:val="28"/>
        </w:rPr>
        <w:t>€250</w:t>
      </w:r>
      <w:r w:rsidR="003102E2" w:rsidRPr="00B24AAE">
        <w:rPr>
          <w:rFonts w:ascii="Book Antiqua" w:hAnsi="Book Antiqua"/>
          <w:sz w:val="28"/>
          <w:szCs w:val="28"/>
        </w:rPr>
        <w:t>.</w:t>
      </w:r>
      <w:r w:rsidR="00BE66A4" w:rsidRPr="00B24AAE">
        <w:rPr>
          <w:rFonts w:ascii="Book Antiqua" w:hAnsi="Book Antiqua"/>
          <w:sz w:val="28"/>
          <w:szCs w:val="28"/>
        </w:rPr>
        <w:t xml:space="preserve"> These fees should be increased where appropriate, in recognition of travel, rehearsals and if music needs to be learned.</w:t>
      </w:r>
    </w:p>
    <w:p w:rsidR="00F34502" w:rsidRPr="00B24AAE" w:rsidRDefault="00F34502" w:rsidP="007A2108">
      <w:pPr>
        <w:rPr>
          <w:rFonts w:ascii="Book Antiqua" w:hAnsi="Book Antiqua"/>
          <w:sz w:val="28"/>
          <w:szCs w:val="28"/>
        </w:rPr>
      </w:pPr>
    </w:p>
    <w:p w:rsidR="00F34502" w:rsidRPr="00B24AAE" w:rsidRDefault="00F34502" w:rsidP="007A2108">
      <w:pPr>
        <w:rPr>
          <w:rFonts w:ascii="Book Antiqua" w:hAnsi="Book Antiqua"/>
          <w:b/>
          <w:sz w:val="28"/>
          <w:szCs w:val="28"/>
        </w:rPr>
      </w:pPr>
      <w:r w:rsidRPr="00B24AAE">
        <w:rPr>
          <w:rFonts w:ascii="Book Antiqua" w:hAnsi="Book Antiqua"/>
          <w:b/>
          <w:sz w:val="28"/>
          <w:szCs w:val="28"/>
        </w:rPr>
        <w:t>Additional Guidelines</w:t>
      </w:r>
    </w:p>
    <w:p w:rsidR="00F34502" w:rsidRPr="00B24AAE" w:rsidRDefault="00F34502" w:rsidP="00F34502">
      <w:pPr>
        <w:pStyle w:val="ListParagraph"/>
        <w:numPr>
          <w:ilvl w:val="0"/>
          <w:numId w:val="2"/>
        </w:numPr>
        <w:rPr>
          <w:rFonts w:ascii="Book Antiqua" w:hAnsi="Book Antiqua"/>
          <w:sz w:val="28"/>
          <w:szCs w:val="28"/>
        </w:rPr>
      </w:pPr>
      <w:r w:rsidRPr="00B24AAE">
        <w:rPr>
          <w:rFonts w:ascii="Book Antiqua" w:hAnsi="Book Antiqua"/>
          <w:sz w:val="28"/>
          <w:szCs w:val="28"/>
        </w:rPr>
        <w:t>A written contract or letter of appointment should be provided, outlining the terms and conditions of service and listing the duties, including festivals other than Sundays, for which the musician is required.</w:t>
      </w:r>
    </w:p>
    <w:p w:rsidR="00BE66A4" w:rsidRPr="00B24AAE" w:rsidRDefault="00BE66A4" w:rsidP="00BE66A4">
      <w:pPr>
        <w:pStyle w:val="ListParagraph"/>
        <w:numPr>
          <w:ilvl w:val="0"/>
          <w:numId w:val="2"/>
        </w:numPr>
        <w:rPr>
          <w:rFonts w:ascii="Book Antiqua" w:hAnsi="Book Antiqua"/>
          <w:sz w:val="28"/>
          <w:szCs w:val="28"/>
        </w:rPr>
      </w:pPr>
      <w:r w:rsidRPr="00B24AAE">
        <w:rPr>
          <w:rFonts w:ascii="Book Antiqua" w:hAnsi="Book Antiqua"/>
          <w:sz w:val="28"/>
          <w:szCs w:val="28"/>
        </w:rPr>
        <w:t>When organ music is required at weddings and funerals, the resident organist should be given first refusal</w:t>
      </w:r>
      <w:r w:rsidR="00B24AAE">
        <w:rPr>
          <w:rFonts w:ascii="Book Antiqua" w:hAnsi="Book Antiqua"/>
          <w:sz w:val="28"/>
          <w:szCs w:val="28"/>
        </w:rPr>
        <w:t xml:space="preserve">. </w:t>
      </w:r>
    </w:p>
    <w:p w:rsidR="00BE66A4" w:rsidRPr="00B24AAE" w:rsidRDefault="00BE66A4" w:rsidP="00BE66A4">
      <w:pPr>
        <w:pStyle w:val="ListParagraph"/>
        <w:numPr>
          <w:ilvl w:val="0"/>
          <w:numId w:val="2"/>
        </w:numPr>
        <w:rPr>
          <w:rFonts w:ascii="Book Antiqua" w:hAnsi="Book Antiqua"/>
          <w:sz w:val="28"/>
          <w:szCs w:val="28"/>
        </w:rPr>
      </w:pPr>
      <w:r w:rsidRPr="00B24AAE">
        <w:rPr>
          <w:rFonts w:ascii="Book Antiqua" w:hAnsi="Book Antiqua"/>
          <w:sz w:val="28"/>
          <w:szCs w:val="28"/>
        </w:rPr>
        <w:t>All rates should be reviewed annually by reference to external benchmarks.</w:t>
      </w:r>
    </w:p>
    <w:p w:rsidR="00BE66A4" w:rsidRPr="00B24AAE" w:rsidRDefault="00BE66A4" w:rsidP="00BE66A4">
      <w:pPr>
        <w:pStyle w:val="ListParagraph"/>
        <w:numPr>
          <w:ilvl w:val="0"/>
          <w:numId w:val="2"/>
        </w:numPr>
        <w:rPr>
          <w:rFonts w:ascii="Book Antiqua" w:hAnsi="Book Antiqua"/>
          <w:sz w:val="28"/>
          <w:szCs w:val="28"/>
        </w:rPr>
      </w:pPr>
      <w:r w:rsidRPr="00B24AAE">
        <w:rPr>
          <w:rFonts w:ascii="Book Antiqua" w:hAnsi="Book Antiqua"/>
          <w:sz w:val="28"/>
          <w:szCs w:val="28"/>
        </w:rPr>
        <w:t>Church authorities should reimburse expenses incurred – such as choir music, postage and stationery – within an agreed budget.</w:t>
      </w:r>
    </w:p>
    <w:p w:rsidR="00BE66A4" w:rsidRPr="00B24AAE" w:rsidRDefault="00BE66A4" w:rsidP="00BE66A4">
      <w:pPr>
        <w:pStyle w:val="ListParagraph"/>
        <w:numPr>
          <w:ilvl w:val="0"/>
          <w:numId w:val="2"/>
        </w:numPr>
        <w:rPr>
          <w:rFonts w:ascii="Book Antiqua" w:hAnsi="Book Antiqua"/>
          <w:sz w:val="28"/>
          <w:szCs w:val="28"/>
        </w:rPr>
      </w:pPr>
      <w:r w:rsidRPr="00B24AAE">
        <w:rPr>
          <w:rFonts w:ascii="Book Antiqua" w:hAnsi="Book Antiqua"/>
          <w:sz w:val="28"/>
          <w:szCs w:val="28"/>
        </w:rPr>
        <w:t>Church authorities should encourage and expect musicians to attend relevant courses (in music, liturgy, theology, etc.) and should contribute towards the cost, recognising the benefit accruing to both the parish and the musician from continuous professional development.</w:t>
      </w:r>
    </w:p>
    <w:p w:rsidR="00F34502" w:rsidRPr="00B24AAE" w:rsidRDefault="00F34502" w:rsidP="007A2108">
      <w:pPr>
        <w:rPr>
          <w:rFonts w:ascii="Book Antiqua" w:hAnsi="Book Antiqua"/>
          <w:sz w:val="28"/>
          <w:szCs w:val="28"/>
        </w:rPr>
      </w:pPr>
    </w:p>
    <w:p w:rsidR="007A2108" w:rsidRPr="00B24AAE" w:rsidRDefault="00B24AAE" w:rsidP="007A2108">
      <w:pPr>
        <w:rPr>
          <w:rFonts w:ascii="Book Antiqua" w:hAnsi="Book Antiqua"/>
          <w:b/>
          <w:sz w:val="28"/>
          <w:szCs w:val="28"/>
        </w:rPr>
      </w:pPr>
      <w:r>
        <w:rPr>
          <w:rFonts w:ascii="Book Antiqua" w:hAnsi="Book Antiqua"/>
          <w:b/>
          <w:sz w:val="28"/>
          <w:szCs w:val="28"/>
        </w:rPr>
        <w:t xml:space="preserve">The Advisory Committee on Church Music (National) </w:t>
      </w:r>
      <w:r w:rsidR="00BE66A4" w:rsidRPr="00B24AAE">
        <w:rPr>
          <w:rFonts w:ascii="Book Antiqua" w:hAnsi="Book Antiqua"/>
          <w:b/>
          <w:sz w:val="28"/>
          <w:szCs w:val="28"/>
        </w:rPr>
        <w:t>January</w:t>
      </w:r>
      <w:r w:rsidR="00F37BFC" w:rsidRPr="00B24AAE">
        <w:rPr>
          <w:rFonts w:ascii="Book Antiqua" w:hAnsi="Book Antiqua"/>
          <w:b/>
          <w:sz w:val="28"/>
          <w:szCs w:val="28"/>
        </w:rPr>
        <w:t xml:space="preserve"> 2025</w:t>
      </w:r>
      <w:bookmarkStart w:id="0" w:name="_GoBack"/>
      <w:bookmarkEnd w:id="0"/>
    </w:p>
    <w:sectPr w:rsidR="007A2108" w:rsidRPr="00B24A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50C87"/>
    <w:multiLevelType w:val="hybridMultilevel"/>
    <w:tmpl w:val="EDFC82FE"/>
    <w:lvl w:ilvl="0" w:tplc="1809000F">
      <w:start w:val="1"/>
      <w:numFmt w:val="decimal"/>
      <w:lvlText w:val="%1."/>
      <w:lvlJc w:val="left"/>
      <w:pPr>
        <w:ind w:left="767" w:hanging="360"/>
      </w:pPr>
    </w:lvl>
    <w:lvl w:ilvl="1" w:tplc="18090019" w:tentative="1">
      <w:start w:val="1"/>
      <w:numFmt w:val="lowerLetter"/>
      <w:lvlText w:val="%2."/>
      <w:lvlJc w:val="left"/>
      <w:pPr>
        <w:ind w:left="1487" w:hanging="360"/>
      </w:pPr>
    </w:lvl>
    <w:lvl w:ilvl="2" w:tplc="1809001B" w:tentative="1">
      <w:start w:val="1"/>
      <w:numFmt w:val="lowerRoman"/>
      <w:lvlText w:val="%3."/>
      <w:lvlJc w:val="right"/>
      <w:pPr>
        <w:ind w:left="2207" w:hanging="180"/>
      </w:pPr>
    </w:lvl>
    <w:lvl w:ilvl="3" w:tplc="1809000F" w:tentative="1">
      <w:start w:val="1"/>
      <w:numFmt w:val="decimal"/>
      <w:lvlText w:val="%4."/>
      <w:lvlJc w:val="left"/>
      <w:pPr>
        <w:ind w:left="2927" w:hanging="360"/>
      </w:pPr>
    </w:lvl>
    <w:lvl w:ilvl="4" w:tplc="18090019" w:tentative="1">
      <w:start w:val="1"/>
      <w:numFmt w:val="lowerLetter"/>
      <w:lvlText w:val="%5."/>
      <w:lvlJc w:val="left"/>
      <w:pPr>
        <w:ind w:left="3647" w:hanging="360"/>
      </w:pPr>
    </w:lvl>
    <w:lvl w:ilvl="5" w:tplc="1809001B" w:tentative="1">
      <w:start w:val="1"/>
      <w:numFmt w:val="lowerRoman"/>
      <w:lvlText w:val="%6."/>
      <w:lvlJc w:val="right"/>
      <w:pPr>
        <w:ind w:left="4367" w:hanging="180"/>
      </w:pPr>
    </w:lvl>
    <w:lvl w:ilvl="6" w:tplc="1809000F" w:tentative="1">
      <w:start w:val="1"/>
      <w:numFmt w:val="decimal"/>
      <w:lvlText w:val="%7."/>
      <w:lvlJc w:val="left"/>
      <w:pPr>
        <w:ind w:left="5087" w:hanging="360"/>
      </w:pPr>
    </w:lvl>
    <w:lvl w:ilvl="7" w:tplc="18090019" w:tentative="1">
      <w:start w:val="1"/>
      <w:numFmt w:val="lowerLetter"/>
      <w:lvlText w:val="%8."/>
      <w:lvlJc w:val="left"/>
      <w:pPr>
        <w:ind w:left="5807" w:hanging="360"/>
      </w:pPr>
    </w:lvl>
    <w:lvl w:ilvl="8" w:tplc="1809001B" w:tentative="1">
      <w:start w:val="1"/>
      <w:numFmt w:val="lowerRoman"/>
      <w:lvlText w:val="%9."/>
      <w:lvlJc w:val="right"/>
      <w:pPr>
        <w:ind w:left="6527" w:hanging="180"/>
      </w:pPr>
    </w:lvl>
  </w:abstractNum>
  <w:abstractNum w:abstractNumId="1" w15:restartNumberingAfterBreak="0">
    <w:nsid w:val="5578334E"/>
    <w:multiLevelType w:val="hybridMultilevel"/>
    <w:tmpl w:val="EDFC82FE"/>
    <w:lvl w:ilvl="0" w:tplc="1809000F">
      <w:start w:val="1"/>
      <w:numFmt w:val="decimal"/>
      <w:lvlText w:val="%1."/>
      <w:lvlJc w:val="left"/>
      <w:pPr>
        <w:ind w:left="767" w:hanging="360"/>
      </w:pPr>
    </w:lvl>
    <w:lvl w:ilvl="1" w:tplc="18090019" w:tentative="1">
      <w:start w:val="1"/>
      <w:numFmt w:val="lowerLetter"/>
      <w:lvlText w:val="%2."/>
      <w:lvlJc w:val="left"/>
      <w:pPr>
        <w:ind w:left="1487" w:hanging="360"/>
      </w:pPr>
    </w:lvl>
    <w:lvl w:ilvl="2" w:tplc="1809001B" w:tentative="1">
      <w:start w:val="1"/>
      <w:numFmt w:val="lowerRoman"/>
      <w:lvlText w:val="%3."/>
      <w:lvlJc w:val="right"/>
      <w:pPr>
        <w:ind w:left="2207" w:hanging="180"/>
      </w:pPr>
    </w:lvl>
    <w:lvl w:ilvl="3" w:tplc="1809000F" w:tentative="1">
      <w:start w:val="1"/>
      <w:numFmt w:val="decimal"/>
      <w:lvlText w:val="%4."/>
      <w:lvlJc w:val="left"/>
      <w:pPr>
        <w:ind w:left="2927" w:hanging="360"/>
      </w:pPr>
    </w:lvl>
    <w:lvl w:ilvl="4" w:tplc="18090019" w:tentative="1">
      <w:start w:val="1"/>
      <w:numFmt w:val="lowerLetter"/>
      <w:lvlText w:val="%5."/>
      <w:lvlJc w:val="left"/>
      <w:pPr>
        <w:ind w:left="3647" w:hanging="360"/>
      </w:pPr>
    </w:lvl>
    <w:lvl w:ilvl="5" w:tplc="1809001B" w:tentative="1">
      <w:start w:val="1"/>
      <w:numFmt w:val="lowerRoman"/>
      <w:lvlText w:val="%6."/>
      <w:lvlJc w:val="right"/>
      <w:pPr>
        <w:ind w:left="4367" w:hanging="180"/>
      </w:pPr>
    </w:lvl>
    <w:lvl w:ilvl="6" w:tplc="1809000F" w:tentative="1">
      <w:start w:val="1"/>
      <w:numFmt w:val="decimal"/>
      <w:lvlText w:val="%7."/>
      <w:lvlJc w:val="left"/>
      <w:pPr>
        <w:ind w:left="5087" w:hanging="360"/>
      </w:pPr>
    </w:lvl>
    <w:lvl w:ilvl="7" w:tplc="18090019" w:tentative="1">
      <w:start w:val="1"/>
      <w:numFmt w:val="lowerLetter"/>
      <w:lvlText w:val="%8."/>
      <w:lvlJc w:val="left"/>
      <w:pPr>
        <w:ind w:left="5807" w:hanging="360"/>
      </w:pPr>
    </w:lvl>
    <w:lvl w:ilvl="8" w:tplc="1809001B" w:tentative="1">
      <w:start w:val="1"/>
      <w:numFmt w:val="lowerRoman"/>
      <w:lvlText w:val="%9."/>
      <w:lvlJc w:val="right"/>
      <w:pPr>
        <w:ind w:left="652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8B"/>
    <w:rsid w:val="00085203"/>
    <w:rsid w:val="00191EC2"/>
    <w:rsid w:val="001C35EE"/>
    <w:rsid w:val="002960E7"/>
    <w:rsid w:val="003102E2"/>
    <w:rsid w:val="004075B2"/>
    <w:rsid w:val="00425C3E"/>
    <w:rsid w:val="005464AF"/>
    <w:rsid w:val="0060542E"/>
    <w:rsid w:val="0064038B"/>
    <w:rsid w:val="007367C8"/>
    <w:rsid w:val="00736CCA"/>
    <w:rsid w:val="007A2108"/>
    <w:rsid w:val="007E1092"/>
    <w:rsid w:val="009F7300"/>
    <w:rsid w:val="00AD2ED0"/>
    <w:rsid w:val="00B24AAE"/>
    <w:rsid w:val="00BE66A4"/>
    <w:rsid w:val="00C82103"/>
    <w:rsid w:val="00D60C02"/>
    <w:rsid w:val="00D6761B"/>
    <w:rsid w:val="00F34502"/>
    <w:rsid w:val="00F37B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C77A"/>
  <w15:chartTrackingRefBased/>
  <w15:docId w15:val="{BA4628BA-54F3-4BFB-8FC5-3F70AF78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6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1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Columba McCann</dc:creator>
  <cp:keywords/>
  <dc:description/>
  <cp:lastModifiedBy>Pat O'Donoghue</cp:lastModifiedBy>
  <cp:revision>4</cp:revision>
  <dcterms:created xsi:type="dcterms:W3CDTF">2025-01-25T15:29:00Z</dcterms:created>
  <dcterms:modified xsi:type="dcterms:W3CDTF">2025-01-30T15:10:00Z</dcterms:modified>
</cp:coreProperties>
</file>